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autoSpaceDE w:val="0"/>
        <w:spacing w:line="584" w:lineRule="exact"/>
        <w:ind w:firstLine="0" w:firstLineChars="0"/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r>
        <w:rPr>
          <w:rFonts w:hint="eastAsia" w:asciiTheme="majorHAnsi" w:hAnsiTheme="majorHAnsi" w:cstheme="majorBidi"/>
          <w:b/>
          <w:bCs/>
          <w:sz w:val="36"/>
          <w:szCs w:val="36"/>
        </w:rPr>
        <w:t>同济大学艺术与传媒学院</w:t>
      </w:r>
      <w:r>
        <w:rPr>
          <w:rFonts w:hint="eastAsia" w:asciiTheme="majorHAnsi" w:hAnsiTheme="majorHAnsi" w:cstheme="majorBidi"/>
          <w:b/>
          <w:bCs/>
          <w:sz w:val="36"/>
          <w:szCs w:val="36"/>
          <w:lang w:val="en-US" w:eastAsia="zh-CN"/>
        </w:rPr>
        <w:t>本科</w:t>
      </w:r>
      <w:r>
        <w:rPr>
          <w:rFonts w:hint="eastAsia" w:asciiTheme="majorHAnsi" w:hAnsiTheme="majorHAnsi" w:cstheme="majorBidi"/>
          <w:b/>
          <w:bCs/>
          <w:sz w:val="36"/>
          <w:szCs w:val="36"/>
        </w:rPr>
        <w:t>优秀毕业生</w:t>
      </w:r>
      <w:r>
        <w:rPr>
          <w:rFonts w:asciiTheme="majorHAnsi" w:hAnsiTheme="majorHAnsi" w:cstheme="majorBidi"/>
          <w:b/>
          <w:bCs/>
          <w:sz w:val="36"/>
          <w:szCs w:val="36"/>
        </w:rPr>
        <w:br w:type="textWrapping"/>
      </w:r>
      <w:r>
        <w:rPr>
          <w:rFonts w:hint="eastAsia" w:asciiTheme="majorHAnsi" w:hAnsiTheme="majorHAnsi" w:cstheme="majorBidi"/>
          <w:b/>
          <w:bCs/>
          <w:sz w:val="36"/>
          <w:szCs w:val="36"/>
        </w:rPr>
        <w:t>的评定实施细则</w:t>
      </w:r>
    </w:p>
    <w:p>
      <w:pPr>
        <w:pStyle w:val="6"/>
        <w:widowControl/>
        <w:shd w:val="clear" w:color="auto" w:fill="FFFFFF"/>
        <w:autoSpaceDE w:val="0"/>
        <w:spacing w:line="584" w:lineRule="exact"/>
        <w:ind w:firstLine="0" w:firstLineChars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 w:cstheme="majorBidi"/>
          <w:b/>
          <w:bCs/>
          <w:sz w:val="36"/>
          <w:szCs w:val="36"/>
        </w:rPr>
        <w:t>（2</w:t>
      </w:r>
      <w:r>
        <w:rPr>
          <w:rFonts w:ascii="宋体" w:hAnsi="宋体" w:cstheme="majorBidi"/>
          <w:b/>
          <w:bCs/>
          <w:sz w:val="36"/>
          <w:szCs w:val="36"/>
        </w:rPr>
        <w:t>0</w:t>
      </w:r>
      <w:r>
        <w:rPr>
          <w:rFonts w:hint="eastAsia" w:ascii="宋体" w:hAnsi="宋体" w:cstheme="majorBidi"/>
          <w:b/>
          <w:bCs/>
          <w:sz w:val="36"/>
          <w:szCs w:val="36"/>
          <w:lang w:val="en-US" w:eastAsia="zh-CN"/>
        </w:rPr>
        <w:t>22</w:t>
      </w:r>
      <w:r>
        <w:rPr>
          <w:rFonts w:hint="eastAsia" w:ascii="宋体" w:hAnsi="宋体" w:cstheme="majorBidi"/>
          <w:b/>
          <w:bCs/>
          <w:sz w:val="36"/>
          <w:szCs w:val="36"/>
        </w:rPr>
        <w:t>年修订）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为全面贯彻党的教育方针，落实立德树人根本任务，鼓励毕业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>生不断努力，积极为社会主义现代化建设做出贡献，引导</w:t>
      </w:r>
      <w:r>
        <w:rPr>
          <w:rFonts w:hint="eastAsia" w:ascii="仿宋" w:hAnsi="仿宋" w:eastAsia="仿宋"/>
          <w:sz w:val="32"/>
          <w:szCs w:val="32"/>
          <w:lang w:eastAsia="zh-CN"/>
        </w:rPr>
        <w:t>本科生</w:t>
      </w:r>
      <w:r>
        <w:rPr>
          <w:rFonts w:hint="eastAsia" w:ascii="仿宋" w:hAnsi="仿宋" w:eastAsia="仿宋"/>
          <w:sz w:val="32"/>
          <w:szCs w:val="32"/>
        </w:rPr>
        <w:t>德、智、体、美、劳全面发展，根据《同济大学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>优秀毕业生评定细则》（同济学〔</w:t>
      </w:r>
      <w:r>
        <w:rPr>
          <w:rFonts w:ascii="仿宋" w:hAnsi="仿宋" w:eastAsia="仿宋"/>
          <w:sz w:val="32"/>
          <w:szCs w:val="32"/>
        </w:rPr>
        <w:t>2018〕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等文件要求，结合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我院实际情况，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拟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定本细则。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一、评选对象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2022年应届毕业全日制本科生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二、评选条件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1、同济大学艺术与传媒学院应届毕业本科生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2、热爱社会主义祖国，拥护中国共产党的路线、方针、政策，能模范地遵守校纪校规，遵纪守法，有良好的品德修养，积极践行社会主义核心价值观；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3、成绩优良，评奖时所有课程考核合格，市级优秀毕业生所学课程的平均绩点原则上不低于 4.0，校级优秀毕业生所学课程的平均绩点原则上不低于 3.5；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4、申请市级优秀毕业生，在校期间，必须满足以下一项条件：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（1）累计两次以上（含两次）获国家奖学金、上海市奖学金、同济大学优秀学生奖学金（含校外冠名奖学金）二等奖及以上；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（2）累计两次以上（含两次）获校级或校级以上“优秀学生”、“优秀学生干部”称号，且同时至少获得过一次本科生国家奖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学金、上海市奖学金、优秀学生奖学金（含校外冠名奖学金）二等奖及以上；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（3）其他有突出表现者。（此项条件依据学校下发的《关于“其他突出表现者”的具体说明》，具体材料由学院评审委员会认定与决议）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5、申请校级优秀毕业生，在校期间，必须满足以下一项条件：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（1）累计两次以上（含两次）获以下荣誉者：本科生国家奖学金、国家励志奖学金、上海市奖学金、优秀学生奖学金（含校外冠名奖学金）三等奖及以上、社会活动奖、“优秀学生”、“优秀学生干部”；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（2）其他有突出表现者。（此项条件依据学校下发的《关于“其他突出表现者”的具体说明》，具体材料由学院评审委员会认定与决议）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6、能以国家、集体利益为重，积极志愿到农村、基层或者艰苦地区、艰苦行业就业者、服兵役复学者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等在同等条件下优先评选。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 w:cs="Times New Roman"/>
          <w:sz w:val="32"/>
          <w:szCs w:val="32"/>
          <w:lang w:bidi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bidi="zh-CN"/>
        </w:rPr>
        <w:t>三</w:t>
      </w:r>
      <w:r>
        <w:rPr>
          <w:rFonts w:ascii="黑体" w:hAnsi="黑体" w:eastAsia="黑体" w:cs="Times New Roman"/>
          <w:sz w:val="32"/>
          <w:szCs w:val="32"/>
          <w:lang w:bidi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bidi="zh-CN"/>
        </w:rPr>
        <w:t>评奖组织机构</w:t>
      </w:r>
    </w:p>
    <w:p>
      <w:pPr>
        <w:widowControl/>
        <w:spacing w:line="584" w:lineRule="exact"/>
        <w:ind w:firstLine="640" w:firstLineChars="200"/>
        <w:rPr>
          <w:rFonts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1、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我院设立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本科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优秀毕业生</w:t>
      </w:r>
      <w:r>
        <w:rPr>
          <w:rFonts w:ascii="仿宋" w:hAnsi="仿宋" w:eastAsia="仿宋" w:cs="Times New Roman"/>
          <w:sz w:val="32"/>
          <w:szCs w:val="32"/>
          <w:lang w:bidi="zh-CN"/>
        </w:rPr>
        <w:t>评审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小组，负责本科优秀毕业生的评定实施细则制定与修订、申请组织、初步评审等工作。组长为分管学生工作的学院党委副书记，组员由分管教学工作的学院副院长、分管科研工作的学院副院长、专业教师代表、教务办代表、学工办代表、班主任代表、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本科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生代表组成，</w:t>
      </w:r>
      <w:r>
        <w:rPr>
          <w:rFonts w:ascii="仿宋" w:hAnsi="仿宋" w:eastAsia="仿宋" w:cs="Times New Roman"/>
          <w:sz w:val="32"/>
          <w:szCs w:val="32"/>
          <w:lang w:bidi="zh-CN"/>
        </w:rPr>
        <w:t>秘书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为学工办负责本科优秀毕业生事务的辅导员。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本科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生代表在不参与评奖的学生中产生。</w:t>
      </w:r>
    </w:p>
    <w:p>
      <w:pPr>
        <w:widowControl/>
        <w:spacing w:line="584" w:lineRule="exact"/>
        <w:ind w:firstLine="640" w:firstLineChars="200"/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2、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我院设立本科优秀毕业生监督小组，负责对本科优秀毕业生的评定进行监督以及异议裁决工作。组长为学院纪委书记，组员由学院纪委委员组成。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四、评选程序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1、市级优秀毕业生和校级优秀毕业生评选比例不超过毕业人数的5%，具体名额根据当年上级部门通知确定，按照学校分配名额，初步划分各专业市级优秀毕业生和校级优秀毕业生名额；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2、本科生向所在班级递交申请材料，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bidi="zh-CN"/>
        </w:rPr>
        <w:t>包括提交电子版与书面申请材料等。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由班主任对各班申请人递交材料初审，并以无记名投票方式组织班级民主评议，将符合条件的候选人材料上报学院。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bidi="zh-CN"/>
        </w:rPr>
        <w:t>3、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bidi="zh-CN"/>
        </w:rPr>
        <w:t>学院本科优秀毕业生</w:t>
      </w:r>
      <w:r>
        <w:rPr>
          <w:rFonts w:ascii="仿宋" w:hAnsi="仿宋" w:eastAsia="仿宋" w:cs="Times New Roman"/>
          <w:sz w:val="32"/>
          <w:szCs w:val="32"/>
          <w:highlight w:val="none"/>
          <w:lang w:bidi="zh-CN"/>
        </w:rPr>
        <w:t>评审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bidi="zh-CN"/>
        </w:rPr>
        <w:t>小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组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在规定时间内对班级上报材料进行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评审、确定本科优秀毕业生推荐名单并予以公示，且在规定时间内将公示后无异议的推荐名单及有关材料上报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学生工作部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；其后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学生工作部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审核、公示后报主管校领导审批，市级优秀毕业生材料报上海市教委审批；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4、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对学院本科优秀毕业生评审结果有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bidi="zh-CN"/>
        </w:rPr>
        <w:t>异议的学生，可在学院公示阶段向学院本科优秀毕业生监督小组提出复议申诉，学院本科优秀毕业生监督小组应及时研究并予以答复。如学生对学院本科优秀毕业生监督小组作出的答复仍存在异议，可在学校公示阶段向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学生工作部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提请裁决；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5、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对在本科优秀毕业生评审过程中提供虚假材料的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本科生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，一经查实，除追回所得外，将撤销其荣誉称号，并依据校纪校规给予严肃处理；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ascii="黑体" w:hAnsi="黑体" w:eastAsia="黑体" w:cs="Times New Roman"/>
          <w:sz w:val="32"/>
          <w:szCs w:val="32"/>
          <w:lang w:bidi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bidi="zh-CN"/>
        </w:rPr>
        <w:t>五</w:t>
      </w:r>
      <w:r>
        <w:rPr>
          <w:rFonts w:ascii="黑体" w:hAnsi="黑体" w:eastAsia="黑体" w:cs="Times New Roman"/>
          <w:sz w:val="32"/>
          <w:szCs w:val="32"/>
          <w:lang w:bidi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bidi="zh-CN"/>
        </w:rPr>
        <w:t>评奖办法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1、艺术与传媒学院本科优秀毕业生采取综合测评的方式进行评审，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综合测评从学习成绩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（A）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、科研与获奖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（B）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、综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合表现与社会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实践（C）三方面评定。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测评总分=A*0.6+B*0.3+C*0.1</w:t>
      </w:r>
      <w:r>
        <w:rPr>
          <w:rFonts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具体评定标准见《艺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术与传媒学院本科优秀毕业生综合测评表》（2022年3月修定）。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   2、B（科研与获奖）板块核算上限为五项，即竞赛获奖、创新项目、论文发表及媒体作品发表四部分总申报数量不超过5项，其中同一类别申报数量不超过3项，核算上限为3项，需自行排序，超出部分不予认定。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bidi="zh-CN"/>
        </w:rPr>
        <w:t>3、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bidi="zh-CN"/>
        </w:rPr>
        <w:t>申请分值认定需提供相关证明材料原件或复印件，由学院本科优秀毕业生评审小组认定。除特别说明外，本科优秀毕业生的评审支撑材料的时间段为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bidi="zh-CN"/>
        </w:rPr>
        <w:t>本科</w:t>
      </w: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生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入学</w:t>
      </w:r>
      <w:r>
        <w:rPr>
          <w:rFonts w:ascii="仿宋" w:hAnsi="仿宋" w:eastAsia="仿宋" w:cs="Times New Roman"/>
          <w:sz w:val="32"/>
          <w:szCs w:val="32"/>
          <w:lang w:bidi="zh-CN"/>
        </w:rPr>
        <w:t>至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本科优秀毕业生评审当年3</w:t>
      </w:r>
      <w:r>
        <w:rPr>
          <w:rFonts w:ascii="仿宋" w:hAnsi="仿宋" w:eastAsia="仿宋" w:cs="Times New Roman"/>
          <w:sz w:val="32"/>
          <w:szCs w:val="32"/>
          <w:lang w:bidi="zh-CN"/>
        </w:rPr>
        <w:t>月1日。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 w:bidi="zh-CN"/>
        </w:rPr>
        <w:t>4、各类奖学金、优秀学生（标兵）、优秀学生干部（标兵）不列入加分计算，但作为基本支撑材料提供学院本科优秀毕业生评审小组评审参考。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ascii="黑体" w:hAnsi="黑体" w:eastAsia="黑体" w:cs="Times New Roman"/>
          <w:sz w:val="32"/>
          <w:szCs w:val="32"/>
          <w:lang w:bidi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bidi="zh-CN"/>
        </w:rPr>
        <w:t>六</w:t>
      </w:r>
      <w:r>
        <w:rPr>
          <w:rFonts w:ascii="黑体" w:hAnsi="黑体" w:eastAsia="黑体" w:cs="Times New Roman"/>
          <w:sz w:val="32"/>
          <w:szCs w:val="32"/>
          <w:lang w:bidi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bidi="zh-CN"/>
        </w:rPr>
        <w:t>奖励发放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1、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市级优秀毕业生由上海市教委颁发“上海市普通高等学校优秀毕业生证书”，《上海市普通高等学校优秀毕业生登记表》存入本人档案；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bidi="zh-CN"/>
        </w:rPr>
      </w:pPr>
      <w:r>
        <w:rPr>
          <w:rFonts w:ascii="仿宋" w:hAnsi="仿宋" w:eastAsia="仿宋" w:cs="Times New Roman"/>
          <w:sz w:val="32"/>
          <w:szCs w:val="32"/>
          <w:lang w:bidi="zh-CN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、校级优秀毕业生由学校颁发“同济大学优秀毕业生证书”，《同济大学优秀毕业生登记表》存入本人档案。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3、批准为优秀毕业生的学生，在毕业离校前如有违纪违法行为、考试不及格或其他与优秀毕业生称号不相称的行为，学校将根据相关流程取消其“优秀毕业生”称号。</w:t>
      </w:r>
    </w:p>
    <w:p>
      <w:pPr>
        <w:widowControl/>
        <w:spacing w:line="584" w:lineRule="exact"/>
        <w:rPr>
          <w:rFonts w:ascii="黑体" w:hAnsi="黑体" w:eastAsia="黑体" w:cs="Times New Roman"/>
          <w:sz w:val="32"/>
          <w:szCs w:val="32"/>
          <w:lang w:bidi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bidi="zh-CN"/>
        </w:rPr>
        <w:t>七</w:t>
      </w:r>
      <w:r>
        <w:rPr>
          <w:rFonts w:ascii="黑体" w:hAnsi="黑体" w:eastAsia="黑体" w:cs="Times New Roman"/>
          <w:sz w:val="32"/>
          <w:szCs w:val="32"/>
          <w:lang w:bidi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bidi="zh-CN"/>
        </w:rPr>
        <w:t>附则</w:t>
      </w:r>
    </w:p>
    <w:p>
      <w:pPr>
        <w:widowControl/>
        <w:spacing w:line="584" w:lineRule="exact"/>
        <w:ind w:firstLine="640" w:firstLineChars="200"/>
        <w:rPr>
          <w:rFonts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bidi="zh-CN"/>
        </w:rPr>
        <w:t>1、被评为本科优秀毕业生者，在离校前出现与评选条件相违背或违反评定规则获评的情况，学校将撤销其荣誉称号。</w:t>
      </w:r>
    </w:p>
    <w:p>
      <w:pPr>
        <w:widowControl/>
        <w:spacing w:line="584" w:lineRule="exact"/>
        <w:ind w:firstLine="640" w:firstLineChars="200"/>
        <w:rPr>
          <w:rFonts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2、</w:t>
      </w:r>
      <w:r>
        <w:rPr>
          <w:rFonts w:ascii="仿宋" w:hAnsi="仿宋" w:eastAsia="仿宋" w:cs="Times New Roman"/>
          <w:sz w:val="32"/>
          <w:szCs w:val="32"/>
          <w:lang w:bidi="zh-CN"/>
        </w:rPr>
        <w:t>本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细则自公布之日起施行，原学院本科优秀毕业生评定实施细则同时废止。</w:t>
      </w:r>
    </w:p>
    <w:p>
      <w:pPr>
        <w:widowControl/>
        <w:spacing w:line="584" w:lineRule="exact"/>
        <w:ind w:firstLine="640" w:firstLineChars="200"/>
        <w:rPr>
          <w:rFonts w:ascii="仿宋" w:hAnsi="仿宋" w:eastAsia="仿宋" w:cs="Times New Roman"/>
          <w:sz w:val="32"/>
          <w:szCs w:val="32"/>
          <w:lang w:bidi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bidi="zh-CN"/>
        </w:rPr>
        <w:t>3、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本细则</w:t>
      </w:r>
      <w:r>
        <w:rPr>
          <w:rFonts w:ascii="仿宋" w:hAnsi="仿宋" w:eastAsia="仿宋" w:cs="Times New Roman"/>
          <w:sz w:val="32"/>
          <w:szCs w:val="32"/>
          <w:lang w:bidi="zh-CN"/>
        </w:rPr>
        <w:t>由学院</w:t>
      </w:r>
      <w:r>
        <w:rPr>
          <w:rFonts w:hint="eastAsia" w:ascii="仿宋" w:hAnsi="仿宋" w:eastAsia="仿宋" w:cs="Times New Roman"/>
          <w:sz w:val="32"/>
          <w:szCs w:val="32"/>
          <w:lang w:bidi="zh-CN"/>
        </w:rPr>
        <w:t>本科优秀毕业生评审小组</w:t>
      </w:r>
      <w:r>
        <w:rPr>
          <w:rFonts w:ascii="仿宋" w:hAnsi="仿宋" w:eastAsia="仿宋" w:cs="Times New Roman"/>
          <w:sz w:val="32"/>
          <w:szCs w:val="32"/>
          <w:lang w:bidi="zh-CN"/>
        </w:rPr>
        <w:t>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730AC"/>
    <w:rsid w:val="00BC78C0"/>
    <w:rsid w:val="076839D3"/>
    <w:rsid w:val="15A730AC"/>
    <w:rsid w:val="20C429D0"/>
    <w:rsid w:val="2E532A1D"/>
    <w:rsid w:val="336D70AA"/>
    <w:rsid w:val="43556567"/>
    <w:rsid w:val="4ADA16B2"/>
    <w:rsid w:val="519D5494"/>
    <w:rsid w:val="578223FB"/>
    <w:rsid w:val="61F42805"/>
    <w:rsid w:val="73DB501E"/>
    <w:rsid w:val="7C664CD9"/>
    <w:rsid w:val="7E11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2021-12-07T09:19:00Z</dcterms:created>
  <dc:creator>Melody</dc:creator>
  <cp:lastModifiedBy>Melody</cp:lastModifiedBy>
  <cp:lastPrinted>2022-03-17T13:02:00Z</cp:lastPrinted>
  <dcterms:modified xsi:type="dcterms:W3CDTF">2022-03-19T14:54:27Z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E7F7BF5FF80540FB83DE832CD8162A07</vt:lpwstr>
  </property>
</Properties>
</file>